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-56513</wp:posOffset>
            </wp:positionH>
            <wp:positionV relativeFrom="paragraph">
              <wp:posOffset>-471167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4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TPRL  GIRONA PROVINCIA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Desde Wellbeing Solutions, seleccionamos para SPA a un/a técnico/a de prevención para la gestión de la cartera de clientes de Girona.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Entre las funciones: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Visita clientes.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Investigación.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Realizar el seguimiento y la planificación de los clientes.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Asesoramiento en materia de prevención de riesgos laborales.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de evaluaciones de riesgos, planes preventivos, planificación preventiva, etc.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Impartir formación.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Gestión de documentación.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CFGS en PRL.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Experiencia mínima de 1 año en SPA/SPP.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Carnet de conducir y vehículo propio.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18.000 - 22.000 €/brutos anuales.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Horario de L-J jornada partida (intensiva viernes, julio, agosto).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iRxLg4ETBqjvqLgNnLSuQKkIQ==">AMUW2mUn5NCqxus7BkvKtgXg9gyyBwCNB2OBNTqLVXQgzxloohN1o4DeIigZG4CSeNe4C/52WDG1PoIfRn45uMVogZCTO1sE7pPl7cSwCoUjh1RoEXw5wFk=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