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67" w:type="dxa"/>
        <w:tblLayout w:type="fixed"/>
        <w:tblLook w:val="01E0"/>
      </w:tblPr>
      <w:tblGrid>
        <w:gridCol w:w="1985"/>
        <w:gridCol w:w="5954"/>
        <w:gridCol w:w="1985"/>
      </w:tblGrid>
      <w:tr w:rsidR="00D30B35" w:rsidTr="00E00025">
        <w:trPr>
          <w:trHeight w:hRule="exact" w:val="340"/>
        </w:trPr>
        <w:tc>
          <w:tcPr>
            <w:tcW w:w="1985" w:type="dxa"/>
            <w:vMerge w:val="restart"/>
            <w:tcBorders>
              <w:right w:val="single" w:sz="4" w:space="0" w:color="auto"/>
            </w:tcBorders>
            <w:shd w:val="clear" w:color="auto" w:fill="auto"/>
            <w:tcMar>
              <w:left w:w="0" w:type="dxa"/>
              <w:right w:w="0" w:type="dxa"/>
            </w:tcMar>
          </w:tcPr>
          <w:p w:rsidR="00D30B35" w:rsidRPr="005B2A6A" w:rsidRDefault="000A271A" w:rsidP="00D30B35">
            <w:pPr>
              <w:pStyle w:val="EstiloIzquierda0cm"/>
            </w:pPr>
            <w:r>
              <w:rPr>
                <w:noProof/>
              </w:rPr>
              <w:drawing>
                <wp:inline distT="0" distB="0" distL="0" distR="0">
                  <wp:extent cx="1085850" cy="361950"/>
                  <wp:effectExtent l="19050" t="0" r="0" b="0"/>
                  <wp:docPr id="1" name="Imagen 1" descr="lototipo_CCOO_170ppp_tamano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otipo_CCOO_170ppp_tamanoReal"/>
                          <pic:cNvPicPr>
                            <a:picLocks noChangeAspect="1" noChangeArrowheads="1"/>
                          </pic:cNvPicPr>
                        </pic:nvPicPr>
                        <pic:blipFill>
                          <a:blip r:embed="rId7" cstate="print"/>
                          <a:srcRect/>
                          <a:stretch>
                            <a:fillRect/>
                          </a:stretch>
                        </pic:blipFill>
                        <pic:spPr bwMode="auto">
                          <a:xfrm>
                            <a:off x="0" y="0"/>
                            <a:ext cx="1085850" cy="361950"/>
                          </a:xfrm>
                          <a:prstGeom prst="rect">
                            <a:avLst/>
                          </a:prstGeom>
                          <a:noFill/>
                          <a:ln w="9525">
                            <a:noFill/>
                            <a:miter lim="800000"/>
                            <a:headEnd/>
                            <a:tailEnd/>
                          </a:ln>
                        </pic:spPr>
                      </pic:pic>
                    </a:graphicData>
                  </a:graphic>
                </wp:inline>
              </w:drawing>
            </w:r>
          </w:p>
        </w:tc>
        <w:tc>
          <w:tcPr>
            <w:tcW w:w="5954" w:type="dxa"/>
            <w:tcBorders>
              <w:left w:val="single" w:sz="4" w:space="0" w:color="auto"/>
            </w:tcBorders>
            <w:noWrap/>
            <w:tcMar>
              <w:left w:w="113" w:type="dxa"/>
              <w:right w:w="-1" w:type="dxa"/>
            </w:tcMar>
          </w:tcPr>
          <w:p w:rsidR="00D30B35" w:rsidRDefault="00D30B35" w:rsidP="00D30B35">
            <w:pPr>
              <w:pStyle w:val="Cabeceraorganizacion"/>
            </w:pPr>
            <w:r>
              <w:t>confederación sindical de comisiones obreras</w:t>
            </w:r>
          </w:p>
        </w:tc>
        <w:tc>
          <w:tcPr>
            <w:tcW w:w="1985" w:type="dxa"/>
            <w:noWrap/>
            <w:tcMar>
              <w:left w:w="113" w:type="dxa"/>
              <w:right w:w="0" w:type="dxa"/>
            </w:tcMar>
          </w:tcPr>
          <w:p w:rsidR="00D30B35" w:rsidRPr="00B13880" w:rsidRDefault="00D30B35" w:rsidP="00D30B35">
            <w:pPr>
              <w:pStyle w:val="CabeceraseparacionURL"/>
            </w:pPr>
            <w:r w:rsidRPr="00DE7724">
              <w:t xml:space="preserve">| </w:t>
            </w:r>
            <w:r w:rsidRPr="00E04C5B">
              <w:rPr>
                <w:rStyle w:val="CabeceraURLCar"/>
              </w:rPr>
              <w:t>www.ccoo.es</w:t>
            </w:r>
          </w:p>
        </w:tc>
      </w:tr>
      <w:tr w:rsidR="00D30B35" w:rsidTr="00E00025">
        <w:trPr>
          <w:trHeight w:val="739"/>
        </w:trPr>
        <w:tc>
          <w:tcPr>
            <w:tcW w:w="1985" w:type="dxa"/>
            <w:vMerge/>
            <w:tcBorders>
              <w:right w:val="single" w:sz="4" w:space="0" w:color="auto"/>
            </w:tcBorders>
            <w:shd w:val="clear" w:color="auto" w:fill="auto"/>
          </w:tcPr>
          <w:p w:rsidR="00D30B35" w:rsidRPr="005B2A6A" w:rsidRDefault="00D30B35" w:rsidP="00D30B35"/>
        </w:tc>
        <w:tc>
          <w:tcPr>
            <w:tcW w:w="5954" w:type="dxa"/>
            <w:gridSpan w:val="2"/>
            <w:tcBorders>
              <w:left w:val="single" w:sz="4" w:space="0" w:color="auto"/>
            </w:tcBorders>
            <w:tcMar>
              <w:top w:w="0" w:type="dxa"/>
              <w:left w:w="113" w:type="dxa"/>
              <w:right w:w="0" w:type="dxa"/>
            </w:tcMar>
          </w:tcPr>
          <w:p w:rsidR="00DE548C" w:rsidRDefault="003E4710" w:rsidP="00DE548C">
            <w:pPr>
              <w:pStyle w:val="Cabecerasecretariaydireccion"/>
            </w:pPr>
            <w:r w:rsidRPr="003E4710">
              <w:t xml:space="preserve">Secretaría de </w:t>
            </w:r>
            <w:r w:rsidR="000A271A">
              <w:t>Salud Laboral y Sostenibilidad Medioambiental</w:t>
            </w:r>
          </w:p>
          <w:p w:rsidR="00D30B35" w:rsidRPr="00D1065C" w:rsidRDefault="00DE548C" w:rsidP="000B38B4">
            <w:pPr>
              <w:pStyle w:val="Cabecerasecretariaydireccion"/>
            </w:pPr>
            <w:r>
              <w:t>Fernández de la Hoz, 12. 28010 Madrid. Tel.: 917028</w:t>
            </w:r>
            <w:r w:rsidR="000B38B4">
              <w:t>197</w:t>
            </w:r>
          </w:p>
        </w:tc>
      </w:tr>
    </w:tbl>
    <w:p w:rsidR="00D30B35" w:rsidRDefault="00D30B35" w:rsidP="00D30B35">
      <w:pPr>
        <w:pStyle w:val="Cabeceraseparacininferior"/>
      </w:pPr>
    </w:p>
    <w:p w:rsidR="00D30B35" w:rsidRDefault="000A271A" w:rsidP="00D30B35">
      <w:pPr>
        <w:pStyle w:val="DestinatarioyDatosencabezado"/>
      </w:pPr>
      <w:r>
        <w:rPr>
          <w:noProof/>
        </w:rPr>
        <w:drawing>
          <wp:anchor distT="0" distB="0" distL="107950" distR="107950" simplePos="0" relativeHeight="251657728" behindDoc="0" locked="0" layoutInCell="1" allowOverlap="0">
            <wp:simplePos x="0" y="0"/>
            <wp:positionH relativeFrom="column">
              <wp:posOffset>-342265</wp:posOffset>
            </wp:positionH>
            <wp:positionV relativeFrom="page">
              <wp:posOffset>1800225</wp:posOffset>
            </wp:positionV>
            <wp:extent cx="1152525" cy="7848600"/>
            <wp:effectExtent l="0" t="0" r="0" b="0"/>
            <wp:wrapSquare wrapText="bothSides"/>
            <wp:docPr id="6" name="Imagen 6" descr="imagenFondo_circular_v01_200ppp_12q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Fondo_circular_v01_200ppp_12qlt"/>
                    <pic:cNvPicPr>
                      <a:picLocks noChangeAspect="1" noChangeArrowheads="1"/>
                    </pic:cNvPicPr>
                  </pic:nvPicPr>
                  <pic:blipFill>
                    <a:blip r:embed="rId8" cstate="print">
                      <a:clrChange>
                        <a:clrFrom>
                          <a:srgbClr val="FFFFFF"/>
                        </a:clrFrom>
                        <a:clrTo>
                          <a:srgbClr val="FFFFFF">
                            <a:alpha val="0"/>
                          </a:srgbClr>
                        </a:clrTo>
                      </a:clrChange>
                    </a:blip>
                    <a:srcRect t="13493" r="8559"/>
                    <a:stretch>
                      <a:fillRect/>
                    </a:stretch>
                  </pic:blipFill>
                  <pic:spPr bwMode="auto">
                    <a:xfrm>
                      <a:off x="0" y="0"/>
                      <a:ext cx="1152525" cy="7848600"/>
                    </a:xfrm>
                    <a:prstGeom prst="rect">
                      <a:avLst/>
                    </a:prstGeom>
                    <a:noFill/>
                    <a:ln w="9525">
                      <a:noFill/>
                      <a:miter lim="800000"/>
                      <a:headEnd/>
                      <a:tailEnd/>
                    </a:ln>
                  </pic:spPr>
                </pic:pic>
              </a:graphicData>
            </a:graphic>
          </wp:anchor>
        </w:drawing>
      </w:r>
      <w:r w:rsidR="000E52DF">
        <w:t>Número:</w:t>
      </w:r>
      <w:r w:rsidR="000E52DF">
        <w:tab/>
      </w:r>
      <w:r w:rsidR="00D30B35">
        <w:t xml:space="preserve">000 | </w:t>
      </w:r>
      <w:r w:rsidR="005E0955">
        <w:t>2023</w:t>
      </w:r>
    </w:p>
    <w:p w:rsidR="00D30B35" w:rsidRDefault="00D30B35" w:rsidP="00D30B35">
      <w:pPr>
        <w:pStyle w:val="DestinatarioyDatosencabezado"/>
      </w:pPr>
      <w:r>
        <w:t xml:space="preserve">Fecha: </w:t>
      </w:r>
      <w:r>
        <w:tab/>
      </w:r>
      <w:r>
        <w:tab/>
      </w:r>
      <w:r w:rsidR="005E0955">
        <w:t>05 de enero de 2023</w:t>
      </w:r>
    </w:p>
    <w:p w:rsidR="00D30B35" w:rsidRDefault="00D30B35" w:rsidP="00D30B35">
      <w:pPr>
        <w:pStyle w:val="DestinatarioyDatosencabezado"/>
      </w:pPr>
    </w:p>
    <w:p w:rsidR="00D30B35" w:rsidRPr="007F5582" w:rsidRDefault="00D30B35" w:rsidP="00D30B35">
      <w:pPr>
        <w:pStyle w:val="DestinatarioyDatosencabezado"/>
        <w:rPr>
          <w:rStyle w:val="PrrafonegritaCar"/>
        </w:rPr>
      </w:pPr>
      <w:r>
        <w:t>De:</w:t>
      </w:r>
      <w:r>
        <w:tab/>
      </w:r>
      <w:r>
        <w:tab/>
      </w:r>
      <w:r w:rsidR="005E0955" w:rsidRPr="005E0955">
        <w:rPr>
          <w:b/>
        </w:rPr>
        <w:t>Secretaría de Salud Laboral y Sostenibilidad Medioambiental</w:t>
      </w:r>
    </w:p>
    <w:p w:rsidR="00D30B35" w:rsidRPr="007F5582" w:rsidRDefault="00D30B35" w:rsidP="00D30B35">
      <w:pPr>
        <w:pStyle w:val="DestinatarioyDatosencabezado"/>
      </w:pPr>
      <w:r>
        <w:t>A:</w:t>
      </w:r>
      <w:r>
        <w:tab/>
      </w:r>
      <w:r>
        <w:tab/>
      </w:r>
      <w:r w:rsidR="005E0955">
        <w:t>Responsables de Salud Laboral</w:t>
      </w:r>
    </w:p>
    <w:p w:rsidR="00D30B35" w:rsidRDefault="00D30B35" w:rsidP="005E0955">
      <w:pPr>
        <w:pStyle w:val="DestinatarioyDatosencabezado"/>
      </w:pPr>
    </w:p>
    <w:p w:rsidR="00F542C1" w:rsidRDefault="00F542C1" w:rsidP="00113D3A">
      <w:pPr>
        <w:pStyle w:val="Titular"/>
        <w:rPr>
          <w:sz w:val="36"/>
          <w:szCs w:val="36"/>
        </w:rPr>
      </w:pPr>
    </w:p>
    <w:p w:rsidR="00113D3A" w:rsidRPr="00F542C1" w:rsidRDefault="00542C82" w:rsidP="00113D3A">
      <w:pPr>
        <w:pStyle w:val="Titular"/>
        <w:rPr>
          <w:sz w:val="36"/>
          <w:szCs w:val="36"/>
        </w:rPr>
      </w:pPr>
      <w:r w:rsidRPr="00F542C1">
        <w:rPr>
          <w:sz w:val="36"/>
          <w:szCs w:val="36"/>
        </w:rPr>
        <w:t xml:space="preserve">Sentencia del Tribunal de Justicia  </w:t>
      </w:r>
      <w:r w:rsidR="00F542C1">
        <w:rPr>
          <w:sz w:val="36"/>
          <w:szCs w:val="36"/>
        </w:rPr>
        <w:t xml:space="preserve">de la Unión Europea (TJUE), </w:t>
      </w:r>
      <w:r w:rsidRPr="00F542C1">
        <w:rPr>
          <w:sz w:val="36"/>
          <w:szCs w:val="36"/>
        </w:rPr>
        <w:t xml:space="preserve">de 2 de diciembre de 2022  referida a dispositivos correctores especiales en los puestos de trabajo </w:t>
      </w:r>
      <w:r w:rsidR="00222BE5" w:rsidRPr="00F542C1">
        <w:rPr>
          <w:sz w:val="36"/>
          <w:szCs w:val="36"/>
        </w:rPr>
        <w:t>con equipos que incluyen p</w:t>
      </w:r>
      <w:r w:rsidRPr="00F542C1">
        <w:rPr>
          <w:sz w:val="36"/>
          <w:szCs w:val="36"/>
        </w:rPr>
        <w:t xml:space="preserve">antallas de </w:t>
      </w:r>
      <w:r w:rsidR="00222BE5" w:rsidRPr="00F542C1">
        <w:rPr>
          <w:sz w:val="36"/>
          <w:szCs w:val="36"/>
        </w:rPr>
        <w:t>v</w:t>
      </w:r>
      <w:r w:rsidRPr="00F542C1">
        <w:rPr>
          <w:sz w:val="36"/>
          <w:szCs w:val="36"/>
        </w:rPr>
        <w:t>isualización de datos</w:t>
      </w:r>
    </w:p>
    <w:p w:rsidR="00542C82" w:rsidRDefault="00542C82" w:rsidP="00542C82">
      <w:r w:rsidRPr="00542C82">
        <w:t xml:space="preserve">El 22 de diciembre  de 2022 el </w:t>
      </w:r>
      <w:r w:rsidRPr="00542C82">
        <w:rPr>
          <w:b/>
        </w:rPr>
        <w:t>Tribunal de Justicia de la Unión Europea</w:t>
      </w:r>
      <w:r w:rsidRPr="00542C82">
        <w:t xml:space="preserve"> dicto una sentencia que interpreta el </w:t>
      </w:r>
      <w:r w:rsidRPr="00542C82">
        <w:rPr>
          <w:b/>
        </w:rPr>
        <w:t xml:space="preserve">artículo 9 de la Directiva 90/270/ CEE del </w:t>
      </w:r>
      <w:r w:rsidR="00222BE5" w:rsidRPr="00542C82">
        <w:rPr>
          <w:b/>
        </w:rPr>
        <w:t>Consejo,</w:t>
      </w:r>
      <w:r w:rsidRPr="00542C82">
        <w:rPr>
          <w:b/>
        </w:rPr>
        <w:t xml:space="preserve"> de 29 de mayo de 1990, </w:t>
      </w:r>
      <w:r w:rsidRPr="00542C82">
        <w:t>referente a las disposiciones mínimas de seguridad y salud relativas al trabajo con equipos que incluyen pantallas de visualización de datos</w:t>
      </w:r>
      <w:r w:rsidR="00360D11">
        <w:t>, traspuesto en nuestro derecho interno por el Real Decreto</w:t>
      </w:r>
    </w:p>
    <w:p w:rsidR="00542C82" w:rsidRDefault="00542C82" w:rsidP="00542C82">
      <w:r>
        <w:t>Tras un primer análisis técnico y jurídico de la citada sentencia</w:t>
      </w:r>
      <w:r w:rsidR="00360D11">
        <w:t>, y sin perjuicio de un estudio más exhaustivo de la misma,</w:t>
      </w:r>
      <w:r>
        <w:t xml:space="preserve"> os trasladamos algunas de nuestras conclusiones:</w:t>
      </w:r>
    </w:p>
    <w:p w:rsidR="00542C82" w:rsidRPr="00CA0354" w:rsidRDefault="00542C82" w:rsidP="00542C82">
      <w:pPr>
        <w:pStyle w:val="Prrafodelista"/>
        <w:numPr>
          <w:ilvl w:val="0"/>
          <w:numId w:val="9"/>
        </w:numPr>
        <w:rPr>
          <w:rFonts w:ascii="Arial Narrow" w:hAnsi="Arial Narrow"/>
          <w:i/>
        </w:rPr>
      </w:pPr>
      <w:r w:rsidRPr="00542C82">
        <w:rPr>
          <w:rFonts w:ascii="Arial Narrow" w:hAnsi="Arial Narrow"/>
        </w:rPr>
        <w:t>En primer lugar cabe recordar que</w:t>
      </w:r>
      <w:r>
        <w:rPr>
          <w:rFonts w:ascii="Arial Narrow" w:hAnsi="Arial Narrow"/>
        </w:rPr>
        <w:t xml:space="preserve"> en el </w:t>
      </w:r>
      <w:r w:rsidRPr="00F542C1">
        <w:rPr>
          <w:rFonts w:ascii="Arial Narrow" w:hAnsi="Arial Narrow"/>
          <w:b/>
        </w:rPr>
        <w:t>Real Decreto</w:t>
      </w:r>
      <w:r w:rsidR="00222BE5" w:rsidRPr="00F542C1">
        <w:rPr>
          <w:rFonts w:ascii="Arial Narrow" w:hAnsi="Arial Narrow"/>
          <w:b/>
        </w:rPr>
        <w:t xml:space="preserve"> 488/1997, de 14 de abril</w:t>
      </w:r>
      <w:r w:rsidR="00222BE5">
        <w:rPr>
          <w:rFonts w:ascii="Arial Narrow" w:hAnsi="Arial Narrow"/>
        </w:rPr>
        <w:t>, sobre disposiciones mínimas de seguridad y salud relativas al trabajo con equipos que incluyen pantallas de visualización de datos</w:t>
      </w:r>
      <w:r w:rsidR="00FD6A06">
        <w:rPr>
          <w:rFonts w:ascii="Arial Narrow" w:hAnsi="Arial Narrow"/>
        </w:rPr>
        <w:t xml:space="preserve"> en el art. 4.3. Vigilancia de la salud, </w:t>
      </w:r>
      <w:r w:rsidR="00360D11">
        <w:rPr>
          <w:rFonts w:ascii="Arial Narrow" w:hAnsi="Arial Narrow"/>
        </w:rPr>
        <w:t xml:space="preserve">con una  redacción idéntica a la del </w:t>
      </w:r>
      <w:proofErr w:type="gramStart"/>
      <w:r w:rsidR="00360D11">
        <w:rPr>
          <w:rFonts w:ascii="Arial Narrow" w:hAnsi="Arial Narrow"/>
        </w:rPr>
        <w:t xml:space="preserve">art </w:t>
      </w:r>
      <w:r w:rsidR="00CA0354">
        <w:rPr>
          <w:rFonts w:ascii="Arial Narrow" w:hAnsi="Arial Narrow"/>
        </w:rPr>
        <w:t>.</w:t>
      </w:r>
      <w:proofErr w:type="gramEnd"/>
      <w:r w:rsidR="00CA0354">
        <w:rPr>
          <w:rFonts w:ascii="Arial Narrow" w:hAnsi="Arial Narrow"/>
        </w:rPr>
        <w:t xml:space="preserve"> </w:t>
      </w:r>
      <w:r w:rsidR="00360D11">
        <w:rPr>
          <w:rFonts w:ascii="Arial Narrow" w:hAnsi="Arial Narrow"/>
        </w:rPr>
        <w:t>9</w:t>
      </w:r>
      <w:r w:rsidR="00CA0354">
        <w:rPr>
          <w:rFonts w:ascii="Arial Narrow" w:hAnsi="Arial Narrow"/>
        </w:rPr>
        <w:t>.</w:t>
      </w:r>
      <w:r w:rsidR="00360D11">
        <w:rPr>
          <w:rFonts w:ascii="Arial Narrow" w:hAnsi="Arial Narrow"/>
        </w:rPr>
        <w:t xml:space="preserve">3 de la </w:t>
      </w:r>
      <w:r w:rsidR="00CA0354">
        <w:rPr>
          <w:rFonts w:ascii="Arial Narrow" w:hAnsi="Arial Narrow"/>
        </w:rPr>
        <w:t>D</w:t>
      </w:r>
      <w:r w:rsidR="00360D11">
        <w:rPr>
          <w:rFonts w:ascii="Arial Narrow" w:hAnsi="Arial Narrow"/>
        </w:rPr>
        <w:t>irectiva interpretada por la sentencia</w:t>
      </w:r>
      <w:r w:rsidR="00CA0354">
        <w:rPr>
          <w:rFonts w:ascii="Arial Narrow" w:hAnsi="Arial Narrow"/>
        </w:rPr>
        <w:t xml:space="preserve">, </w:t>
      </w:r>
      <w:r w:rsidR="00360D11">
        <w:rPr>
          <w:rFonts w:ascii="Arial Narrow" w:hAnsi="Arial Narrow"/>
        </w:rPr>
        <w:t xml:space="preserve"> </w:t>
      </w:r>
      <w:r w:rsidR="00FD6A06">
        <w:rPr>
          <w:rFonts w:ascii="Arial Narrow" w:hAnsi="Arial Narrow"/>
        </w:rPr>
        <w:t>establece que “</w:t>
      </w:r>
      <w:r w:rsidR="00FD6A06" w:rsidRPr="00CA0354">
        <w:rPr>
          <w:rFonts w:ascii="Arial Narrow" w:hAnsi="Arial Narrow"/>
          <w:i/>
        </w:rPr>
        <w:t>El empresario proporcionará</w:t>
      </w:r>
      <w:r w:rsidR="00FD6A06" w:rsidRPr="00CA0354">
        <w:rPr>
          <w:rFonts w:ascii="Arial Narrow" w:hAnsi="Arial Narrow"/>
          <w:b/>
          <w:i/>
        </w:rPr>
        <w:t xml:space="preserve"> gratuitamente</w:t>
      </w:r>
      <w:r w:rsidR="00FD6A06" w:rsidRPr="00CA0354">
        <w:rPr>
          <w:rFonts w:ascii="Arial Narrow" w:hAnsi="Arial Narrow"/>
          <w:i/>
        </w:rPr>
        <w:t xml:space="preserve"> a los trabajadores dispositivos correctores especiales para la protección de la vista adecuados al trabajo con el equipo de que se trate, </w:t>
      </w:r>
      <w:r w:rsidR="00FD6A06" w:rsidRPr="00CA0354">
        <w:rPr>
          <w:rFonts w:ascii="Arial Narrow" w:hAnsi="Arial Narrow"/>
          <w:b/>
          <w:i/>
        </w:rPr>
        <w:t xml:space="preserve">si los resultados de la vigilancia de la salud </w:t>
      </w:r>
      <w:r w:rsidR="00FD6A06" w:rsidRPr="00CA0354">
        <w:rPr>
          <w:rFonts w:ascii="Arial Narrow" w:hAnsi="Arial Narrow"/>
          <w:i/>
        </w:rPr>
        <w:t xml:space="preserve">a que se refieren los apartados anteriores </w:t>
      </w:r>
      <w:r w:rsidR="00FD6A06" w:rsidRPr="00CA0354">
        <w:rPr>
          <w:rFonts w:ascii="Arial Narrow" w:hAnsi="Arial Narrow"/>
          <w:b/>
          <w:i/>
        </w:rPr>
        <w:t>demuestran su necesidad y no pueden utilizarse dispositivos correctores normales</w:t>
      </w:r>
      <w:r w:rsidR="00FD6A06" w:rsidRPr="00CA0354">
        <w:rPr>
          <w:rFonts w:ascii="Arial Narrow" w:hAnsi="Arial Narrow"/>
          <w:i/>
        </w:rPr>
        <w:t>”</w:t>
      </w:r>
    </w:p>
    <w:p w:rsidR="00FD6A06" w:rsidRDefault="00FD6A06" w:rsidP="00FD6A06">
      <w:pPr>
        <w:pStyle w:val="Prrafodelista"/>
        <w:rPr>
          <w:rFonts w:ascii="Arial Narrow" w:hAnsi="Arial Narrow"/>
        </w:rPr>
      </w:pPr>
    </w:p>
    <w:p w:rsidR="00FD6A06" w:rsidRDefault="00FD6A06" w:rsidP="00FD6A06">
      <w:pPr>
        <w:pStyle w:val="Prrafodelista"/>
        <w:numPr>
          <w:ilvl w:val="0"/>
          <w:numId w:val="9"/>
        </w:numPr>
        <w:rPr>
          <w:rFonts w:ascii="Arial Narrow" w:hAnsi="Arial Narrow"/>
        </w:rPr>
      </w:pPr>
      <w:r w:rsidRPr="00FD6A06">
        <w:rPr>
          <w:rFonts w:ascii="Arial Narrow" w:hAnsi="Arial Narrow"/>
        </w:rPr>
        <w:t>La “</w:t>
      </w:r>
      <w:r w:rsidRPr="00F542C1">
        <w:rPr>
          <w:rFonts w:ascii="Arial Narrow" w:hAnsi="Arial Narrow"/>
          <w:b/>
        </w:rPr>
        <w:t>Guía Técnica para la evaluación y prevención de los riesgos relativos a la utilización de equipos que incluyan pantallas de visualización</w:t>
      </w:r>
      <w:r w:rsidR="00F542C1" w:rsidRPr="00F542C1">
        <w:rPr>
          <w:rFonts w:ascii="Arial Narrow" w:hAnsi="Arial Narrow"/>
        </w:rPr>
        <w:t xml:space="preserve">” describe lo que se debe entender por </w:t>
      </w:r>
      <w:r w:rsidRPr="00F542C1">
        <w:rPr>
          <w:rFonts w:ascii="Arial Narrow" w:hAnsi="Arial Narrow"/>
        </w:rPr>
        <w:t xml:space="preserve">"dispositivos correctores especiales" </w:t>
      </w:r>
      <w:r w:rsidR="00F542C1" w:rsidRPr="00F542C1">
        <w:rPr>
          <w:rFonts w:ascii="Arial Narrow" w:hAnsi="Arial Narrow"/>
        </w:rPr>
        <w:t xml:space="preserve">: </w:t>
      </w:r>
      <w:r w:rsidRPr="00F542C1">
        <w:rPr>
          <w:rFonts w:ascii="Arial Narrow" w:hAnsi="Arial Narrow"/>
        </w:rPr>
        <w:t xml:space="preserve">aquellos dispositivos correctores de la visión (normalmente gafas) que sean prescritos en los exámenes de salud, por el médico responsable de los mismos, con el fin de poder trabajar a las distancias requeridas específicamente en el puesto equipado con pantalla de visualización. Por "dispositivos correctores normales" se entenderá aquellos dispositivos destinados a corregir los defectos visuales con una finalidad distinta a la </w:t>
      </w:r>
      <w:r w:rsidRPr="00F542C1">
        <w:rPr>
          <w:rFonts w:ascii="Arial Narrow" w:hAnsi="Arial Narrow"/>
        </w:rPr>
        <w:lastRenderedPageBreak/>
        <w:t xml:space="preserve">anterior. Entre los trabajadores que necesitan dispositivos correctores especiales pueden encontrarse tanto los que ya vinieran utilizando gafas o lentillas como aquellos que tuvieran defectos de la visión sin corregir, de los que pueden tomar conciencia al trabajar con pantallas de visualización, como consecuencia de la mayor demanda visual. Como ya se ha dicho, la revisión de la salud del "trabajador" usuario de pantallas de visualización debería determinar si requiere algún dispositivo corrector especial para realizar su trabajo sin que sirvan para ello los dispositivos correctores normales. Las gafas antirreflejo y sistemas análogos, destinados a proteger contra reflejos molestos, radiaciones, </w:t>
      </w:r>
      <w:proofErr w:type="spellStart"/>
      <w:r w:rsidRPr="00F542C1">
        <w:rPr>
          <w:rFonts w:ascii="Arial Narrow" w:hAnsi="Arial Narrow"/>
        </w:rPr>
        <w:t>etc</w:t>
      </w:r>
      <w:proofErr w:type="spellEnd"/>
      <w:r w:rsidRPr="00F542C1">
        <w:rPr>
          <w:rFonts w:ascii="Arial Narrow" w:hAnsi="Arial Narrow"/>
        </w:rPr>
        <w:t>, no se deben considerar dispositivos correctores especiales a los efectos mencionados anteriormente. De acuerdo con el apartado 3 del Art. 4 que comentamos, los dispositivos correctores especiales prescritos para el trabajo con pantallas de visualización en el examen médico deben ser costeados por el empresario.</w:t>
      </w:r>
    </w:p>
    <w:p w:rsidR="00F542C1" w:rsidRDefault="00F542C1" w:rsidP="00F542C1">
      <w:pPr>
        <w:pStyle w:val="Prrafodelista"/>
        <w:rPr>
          <w:rFonts w:ascii="Arial Narrow" w:hAnsi="Arial Narrow"/>
        </w:rPr>
      </w:pPr>
    </w:p>
    <w:p w:rsidR="00F542C1" w:rsidRDefault="00F542C1" w:rsidP="00F542C1">
      <w:pPr>
        <w:pStyle w:val="Prrafodelista"/>
        <w:numPr>
          <w:ilvl w:val="0"/>
          <w:numId w:val="9"/>
        </w:numPr>
        <w:rPr>
          <w:rFonts w:ascii="Arial Narrow" w:hAnsi="Arial Narrow"/>
        </w:rPr>
      </w:pPr>
      <w:r>
        <w:rPr>
          <w:rFonts w:ascii="Arial Narrow" w:hAnsi="Arial Narrow"/>
        </w:rPr>
        <w:t xml:space="preserve">Tras un litigio entre un trabajador y la Inspección General de Inmigración de Rumania, </w:t>
      </w:r>
      <w:r w:rsidR="00E22C8B">
        <w:rPr>
          <w:rFonts w:ascii="Arial Narrow" w:hAnsi="Arial Narrow"/>
        </w:rPr>
        <w:t>l</w:t>
      </w:r>
      <w:r w:rsidRPr="00F542C1">
        <w:rPr>
          <w:rFonts w:ascii="Arial Narrow" w:hAnsi="Arial Narrow"/>
        </w:rPr>
        <w:t xml:space="preserve">a </w:t>
      </w:r>
      <w:r w:rsidRPr="00E22C8B">
        <w:rPr>
          <w:rFonts w:ascii="Arial Narrow" w:hAnsi="Arial Narrow"/>
          <w:b/>
        </w:rPr>
        <w:t>Sentencia del Tribunal de Justicia de la Unión Europea de 22 de diciembre de 2022</w:t>
      </w:r>
      <w:r>
        <w:rPr>
          <w:rFonts w:ascii="Arial Narrow" w:hAnsi="Arial Narrow"/>
        </w:rPr>
        <w:t xml:space="preserve"> dicta una sentencia que tiene por objeto la interpretación del artículo 9</w:t>
      </w:r>
      <w:r w:rsidR="00360D11">
        <w:rPr>
          <w:rFonts w:ascii="Arial Narrow" w:hAnsi="Arial Narrow"/>
        </w:rPr>
        <w:t>.3</w:t>
      </w:r>
      <w:r>
        <w:rPr>
          <w:rFonts w:ascii="Arial Narrow" w:hAnsi="Arial Narrow"/>
        </w:rPr>
        <w:t xml:space="preserve"> de la Directiva 90/270/ CEE del Consejo de 29 de mayo de 1990, referente a las disposiciones mínimas de seguridad y salud relativas al trabajo con equipos que incluyen pantallas de visualización, establece que:</w:t>
      </w:r>
    </w:p>
    <w:p w:rsidR="00F542C1" w:rsidRPr="00F542C1" w:rsidRDefault="00F542C1" w:rsidP="00F542C1">
      <w:pPr>
        <w:pStyle w:val="Prrafodelista"/>
        <w:rPr>
          <w:rFonts w:ascii="Arial Narrow" w:hAnsi="Arial Narrow"/>
        </w:rPr>
      </w:pPr>
    </w:p>
    <w:p w:rsidR="00360D11" w:rsidRDefault="00E22C8B" w:rsidP="00F542C1">
      <w:pPr>
        <w:pStyle w:val="Prrafodelista"/>
        <w:rPr>
          <w:rFonts w:ascii="Arial Narrow" w:hAnsi="Arial Narrow"/>
          <w:i/>
        </w:rPr>
      </w:pPr>
      <w:r>
        <w:rPr>
          <w:rFonts w:ascii="Arial Narrow" w:hAnsi="Arial Narrow"/>
        </w:rPr>
        <w:t>“</w:t>
      </w:r>
      <w:r w:rsidRPr="00360D11">
        <w:rPr>
          <w:rFonts w:ascii="Arial Narrow" w:hAnsi="Arial Narrow"/>
          <w:b/>
          <w:i/>
        </w:rPr>
        <w:t>Los</w:t>
      </w:r>
      <w:r w:rsidR="00F542C1" w:rsidRPr="00360D11">
        <w:rPr>
          <w:rFonts w:ascii="Arial Narrow" w:hAnsi="Arial Narrow"/>
          <w:b/>
          <w:i/>
        </w:rPr>
        <w:t xml:space="preserve"> dispositivos correctores especiales</w:t>
      </w:r>
      <w:r w:rsidR="00F542C1" w:rsidRPr="00360D11">
        <w:rPr>
          <w:rFonts w:ascii="Arial Narrow" w:hAnsi="Arial Narrow"/>
          <w:i/>
        </w:rPr>
        <w:t xml:space="preserve">” previstos en esta disposición comprenden las gafas graduadas que sirven </w:t>
      </w:r>
      <w:r w:rsidR="00F542C1" w:rsidRPr="00360D11">
        <w:rPr>
          <w:rFonts w:ascii="Arial Narrow" w:hAnsi="Arial Narrow"/>
          <w:b/>
          <w:i/>
        </w:rPr>
        <w:t>específicamente</w:t>
      </w:r>
      <w:r w:rsidR="00F542C1" w:rsidRPr="00360D11">
        <w:rPr>
          <w:rFonts w:ascii="Arial Narrow" w:hAnsi="Arial Narrow"/>
          <w:i/>
        </w:rPr>
        <w:t xml:space="preserve"> </w:t>
      </w:r>
      <w:r w:rsidR="00F542C1" w:rsidRPr="00360D11">
        <w:rPr>
          <w:rFonts w:ascii="Arial Narrow" w:hAnsi="Arial Narrow"/>
          <w:b/>
          <w:i/>
        </w:rPr>
        <w:t>para corregir y prevenir trastornos de la vista relacionados con un trabajo realizado con un equipo que incluye una pantalla de visualización</w:t>
      </w:r>
      <w:r w:rsidR="00F542C1" w:rsidRPr="00360D11">
        <w:rPr>
          <w:rFonts w:ascii="Arial Narrow" w:hAnsi="Arial Narrow"/>
          <w:i/>
        </w:rPr>
        <w:t>. Por otro lado, estos “dispositivos correctores especiales” no se circunscriben a los dispositivos utilizados exclusivamente en el ámbito profesional</w:t>
      </w:r>
      <w:r w:rsidRPr="00360D11">
        <w:rPr>
          <w:rFonts w:ascii="Arial Narrow" w:hAnsi="Arial Narrow"/>
          <w:i/>
        </w:rPr>
        <w:t xml:space="preserve">.” </w:t>
      </w:r>
    </w:p>
    <w:p w:rsidR="00CA0354" w:rsidRDefault="00CA0354" w:rsidP="00F542C1">
      <w:pPr>
        <w:pStyle w:val="Prrafodelista"/>
        <w:rPr>
          <w:rFonts w:ascii="Arial Narrow" w:hAnsi="Arial Narrow"/>
          <w:i/>
        </w:rPr>
      </w:pPr>
    </w:p>
    <w:p w:rsidR="00F542C1" w:rsidRPr="00360D11" w:rsidRDefault="00360D11" w:rsidP="00F542C1">
      <w:pPr>
        <w:pStyle w:val="Prrafodelista"/>
        <w:rPr>
          <w:rFonts w:ascii="Arial Narrow" w:hAnsi="Arial Narrow"/>
          <w:i/>
        </w:rPr>
      </w:pPr>
      <w:r>
        <w:rPr>
          <w:rFonts w:ascii="Arial Narrow" w:hAnsi="Arial Narrow"/>
          <w:i/>
        </w:rPr>
        <w:t xml:space="preserve"> “E</w:t>
      </w:r>
      <w:r w:rsidR="00E22C8B" w:rsidRPr="00360D11">
        <w:rPr>
          <w:rFonts w:ascii="Arial Narrow" w:hAnsi="Arial Narrow"/>
          <w:i/>
        </w:rPr>
        <w:t>l artículo 9, apartados 3 y 4 de la Directiva 90/270 debe interpretarse en el sentido de que la obligación del empresario de proporcionar a los trabajadores afectados con dispositivo corrector especial prevista en dicha disposición puede cumplirse, bien mediante la entrega directa de dicho dispositivo por parte del empresario, bien mediante el reembolso de los gastos que el trabajador haya tenido que efectuar, pero no mediante el abono al trabajador de un complemento salarial de carácter general”</w:t>
      </w:r>
    </w:p>
    <w:p w:rsidR="00E22C8B" w:rsidRDefault="00E22C8B" w:rsidP="00F542C1">
      <w:pPr>
        <w:pStyle w:val="Prrafodelista"/>
        <w:rPr>
          <w:rFonts w:ascii="Arial Narrow" w:hAnsi="Arial Narrow"/>
        </w:rPr>
      </w:pPr>
    </w:p>
    <w:p w:rsidR="00E22C8B" w:rsidRPr="00360D11" w:rsidRDefault="001144AA" w:rsidP="00F542C1">
      <w:pPr>
        <w:pStyle w:val="Prrafodelista"/>
        <w:rPr>
          <w:rFonts w:ascii="Arial Narrow" w:hAnsi="Arial Narrow"/>
        </w:rPr>
      </w:pPr>
      <w:r w:rsidRPr="00360D11">
        <w:rPr>
          <w:rFonts w:ascii="Arial Narrow" w:hAnsi="Arial Narrow"/>
        </w:rPr>
        <w:t>Otro aspecto interesante que plantea la Sentencia es que para el derecho a este tipo de dispositivos no se exige un nexo causal entre el trabajo con pantallas de visualización y la aparición de eventuales trastornos de la vista, es decir no es necesario que el daño sea causado por el trabajo.</w:t>
      </w:r>
    </w:p>
    <w:p w:rsidR="00FD6A06" w:rsidRDefault="00301350" w:rsidP="00542C82">
      <w:pPr>
        <w:rPr>
          <w:b/>
        </w:rPr>
      </w:pPr>
      <w:r>
        <w:t>T</w:t>
      </w:r>
      <w:r w:rsidR="00E22C8B">
        <w:t>eniendo en cuenta estas disposiciones legales, consideramos que</w:t>
      </w:r>
      <w:r>
        <w:t xml:space="preserve"> </w:t>
      </w:r>
      <w:r w:rsidRPr="00301350">
        <w:rPr>
          <w:b/>
        </w:rPr>
        <w:t>l</w:t>
      </w:r>
      <w:r w:rsidR="00E22C8B" w:rsidRPr="00301350">
        <w:rPr>
          <w:b/>
        </w:rPr>
        <w:t xml:space="preserve">as personas trabajadoras de los puestos de trabajo con equipos que incluyen pantallas de visualización de datos tienen derecho a que el empresario le proporcione de forma gratuita los dispositivos correctores especiales (entre </w:t>
      </w:r>
      <w:r>
        <w:rPr>
          <w:b/>
        </w:rPr>
        <w:t>las que se consideran las gafas</w:t>
      </w:r>
      <w:r w:rsidR="00E22C8B" w:rsidRPr="00301350">
        <w:rPr>
          <w:b/>
        </w:rPr>
        <w:t>) necesarios para corregir y prevenir los trastornos de la vista relacionados con el trabajo realizado con estos equipos, siempre que los resultados de la vigilancia de l</w:t>
      </w:r>
      <w:r w:rsidRPr="00301350">
        <w:rPr>
          <w:b/>
        </w:rPr>
        <w:t xml:space="preserve">a salud demuestren su necesidad. Es decir, deben ser dispositivos que sirvan para corregir y prevenir los daños a la salud identificados </w:t>
      </w:r>
      <w:r w:rsidR="00FF0FC7">
        <w:rPr>
          <w:b/>
        </w:rPr>
        <w:t xml:space="preserve">y diagnosticados </w:t>
      </w:r>
      <w:r w:rsidRPr="00301350">
        <w:rPr>
          <w:b/>
        </w:rPr>
        <w:t>en los reconocimientos médicos realizados por los Servicios de Prevención en el marco de la vigilancia  de la salud.</w:t>
      </w:r>
    </w:p>
    <w:p w:rsidR="00FD6A06" w:rsidRPr="00301350" w:rsidRDefault="00FD6A06" w:rsidP="00542C82">
      <w:pPr>
        <w:rPr>
          <w:b/>
        </w:rPr>
      </w:pPr>
    </w:p>
    <w:p w:rsidR="00542C82" w:rsidRDefault="003B1CD5" w:rsidP="00542C82">
      <w:pPr>
        <w:rPr>
          <w:b/>
        </w:rPr>
      </w:pPr>
      <w:r>
        <w:rPr>
          <w:b/>
        </w:rPr>
        <w:t xml:space="preserve"> </w:t>
      </w:r>
    </w:p>
    <w:sectPr w:rsidR="00542C82" w:rsidSect="00964BE1">
      <w:footerReference w:type="even" r:id="rId9"/>
      <w:footerReference w:type="default" r:id="rId10"/>
      <w:type w:val="continuous"/>
      <w:pgSz w:w="11906" w:h="16838" w:code="9"/>
      <w:pgMar w:top="851" w:right="1134" w:bottom="1701" w:left="1418" w:header="709" w:footer="56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8CE" w:rsidRDefault="006938CE">
      <w:r>
        <w:separator/>
      </w:r>
    </w:p>
  </w:endnote>
  <w:endnote w:type="continuationSeparator" w:id="0">
    <w:p w:rsidR="006938CE" w:rsidRDefault="00693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65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B7" w:rsidRDefault="00306CDC" w:rsidP="005D7D39">
    <w:pPr>
      <w:pStyle w:val="Piedepgina"/>
      <w:framePr w:wrap="around" w:vAnchor="text" w:hAnchor="margin" w:xAlign="center" w:y="1"/>
      <w:rPr>
        <w:rStyle w:val="Nmerodepgina"/>
      </w:rPr>
    </w:pPr>
    <w:r>
      <w:rPr>
        <w:rStyle w:val="Nmerodepgina"/>
      </w:rPr>
      <w:fldChar w:fldCharType="begin"/>
    </w:r>
    <w:r w:rsidR="00604DB7">
      <w:rPr>
        <w:rStyle w:val="Nmerodepgina"/>
      </w:rPr>
      <w:instrText xml:space="preserve">PAGE  </w:instrText>
    </w:r>
    <w:r>
      <w:rPr>
        <w:rStyle w:val="Nmerodepgina"/>
      </w:rPr>
      <w:fldChar w:fldCharType="end"/>
    </w:r>
  </w:p>
  <w:p w:rsidR="00604DB7" w:rsidRDefault="00604DB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B7" w:rsidRDefault="00306CDC" w:rsidP="007D4975">
    <w:pPr>
      <w:framePr w:w="9356" w:h="232" w:hRule="exact" w:wrap="notBeside" w:vAnchor="text" w:hAnchor="page" w:x="1419" w:y="-328"/>
      <w:spacing w:after="0"/>
      <w:ind w:left="3969"/>
      <w:jc w:val="right"/>
      <w:rPr>
        <w:rStyle w:val="Nmerodepgina"/>
      </w:rPr>
    </w:pPr>
    <w:r>
      <w:rPr>
        <w:rStyle w:val="Nmerodepgina"/>
      </w:rPr>
      <w:fldChar w:fldCharType="begin"/>
    </w:r>
    <w:r w:rsidR="00604DB7">
      <w:rPr>
        <w:rStyle w:val="Nmerodepgina"/>
      </w:rPr>
      <w:instrText xml:space="preserve">PAGE  </w:instrText>
    </w:r>
    <w:r>
      <w:rPr>
        <w:rStyle w:val="Nmerodepgina"/>
      </w:rPr>
      <w:fldChar w:fldCharType="separate"/>
    </w:r>
    <w:r w:rsidR="00CA0354">
      <w:rPr>
        <w:rStyle w:val="Nmerodepgina"/>
        <w:noProof/>
      </w:rPr>
      <w:t>2</w:t>
    </w:r>
    <w:r>
      <w:rPr>
        <w:rStyle w:val="Nmerodepgina"/>
      </w:rPr>
      <w:fldChar w:fldCharType="end"/>
    </w:r>
  </w:p>
  <w:p w:rsidR="00604DB7" w:rsidRDefault="00604DB7" w:rsidP="000E257C">
    <w:pPr>
      <w:pStyle w:val="PiedepginaOK"/>
    </w:pPr>
    <w:r w:rsidRPr="006B5CEC">
      <w:t xml:space="preserve">Afiliada a la Confederación Europea de Sindicatos [CES] y a la Confederación </w:t>
    </w:r>
    <w:r w:rsidRPr="00FC4ADC">
      <w:t>Sindical</w:t>
    </w:r>
    <w:r>
      <w:t xml:space="preserve"> internacional [CSI]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8CE" w:rsidRDefault="006938CE">
      <w:r>
        <w:separator/>
      </w:r>
    </w:p>
  </w:footnote>
  <w:footnote w:type="continuationSeparator" w:id="0">
    <w:p w:rsidR="006938CE" w:rsidRDefault="00693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766B8"/>
    <w:multiLevelType w:val="multilevel"/>
    <w:tmpl w:val="ACD84E64"/>
    <w:styleLink w:val="Estiloconvietas"/>
    <w:lvl w:ilvl="0">
      <w:start w:val="1"/>
      <w:numFmt w:val="bullet"/>
      <w:lvlText w:val=""/>
      <w:lvlJc w:val="left"/>
      <w:pPr>
        <w:tabs>
          <w:tab w:val="num" w:pos="567"/>
        </w:tabs>
        <w:ind w:left="567" w:hanging="283"/>
      </w:pPr>
      <w:rPr>
        <w:rFonts w:ascii="Symbol" w:hAnsi="Symbol" w:hint="default"/>
        <w:sz w:val="24"/>
      </w:rPr>
    </w:lvl>
    <w:lvl w:ilvl="1">
      <w:start w:val="1"/>
      <w:numFmt w:val="bullet"/>
      <w:lvlText w:val="o"/>
      <w:lvlJc w:val="left"/>
      <w:pPr>
        <w:tabs>
          <w:tab w:val="num" w:pos="851"/>
        </w:tabs>
        <w:ind w:left="851" w:hanging="284"/>
      </w:pPr>
      <w:rPr>
        <w:rFonts w:ascii="Courier New" w:hAnsi="Courier New" w:hint="default"/>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1701"/>
        </w:tabs>
        <w:ind w:left="1701" w:hanging="283"/>
      </w:pPr>
      <w:rPr>
        <w:rFonts w:ascii="Courier New" w:hAnsi="Courier New" w:hint="default"/>
      </w:rPr>
    </w:lvl>
    <w:lvl w:ilvl="5">
      <w:start w:val="1"/>
      <w:numFmt w:val="bullet"/>
      <w:lvlText w:val=""/>
      <w:lvlJc w:val="left"/>
      <w:pPr>
        <w:tabs>
          <w:tab w:val="num" w:pos="1985"/>
        </w:tabs>
        <w:ind w:left="1985" w:hanging="284"/>
      </w:pPr>
      <w:rPr>
        <w:rFonts w:ascii="Wingdings" w:hAnsi="Wingdings"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o"/>
      <w:lvlJc w:val="left"/>
      <w:pPr>
        <w:tabs>
          <w:tab w:val="num" w:pos="2552"/>
        </w:tabs>
        <w:ind w:left="2552" w:hanging="284"/>
      </w:pPr>
      <w:rPr>
        <w:rFonts w:ascii="Courier New" w:hAnsi="Courier New" w:hint="default"/>
      </w:rPr>
    </w:lvl>
    <w:lvl w:ilvl="8">
      <w:start w:val="1"/>
      <w:numFmt w:val="bullet"/>
      <w:lvlText w:val=""/>
      <w:lvlJc w:val="left"/>
      <w:pPr>
        <w:tabs>
          <w:tab w:val="num" w:pos="2835"/>
        </w:tabs>
        <w:ind w:left="2835" w:hanging="283"/>
      </w:pPr>
      <w:rPr>
        <w:rFonts w:ascii="Wingdings" w:hAnsi="Wingdings" w:hint="default"/>
      </w:rPr>
    </w:lvl>
  </w:abstractNum>
  <w:abstractNum w:abstractNumId="1">
    <w:nsid w:val="175F547A"/>
    <w:multiLevelType w:val="multilevel"/>
    <w:tmpl w:val="ECD8ACF2"/>
    <w:styleLink w:val="Estilonumerado"/>
    <w:lvl w:ilvl="0">
      <w:start w:val="1"/>
      <w:numFmt w:val="decimal"/>
      <w:lvlText w:val="%1."/>
      <w:lvlJc w:val="left"/>
      <w:pPr>
        <w:tabs>
          <w:tab w:val="num" w:pos="567"/>
        </w:tabs>
        <w:ind w:left="567" w:hanging="283"/>
      </w:pPr>
      <w:rPr>
        <w:rFonts w:ascii="Arial Narrow" w:hAnsi="Arial Narrow" w:hint="default"/>
        <w:sz w:val="24"/>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134"/>
        </w:tabs>
        <w:ind w:left="1134" w:hanging="283"/>
      </w:pPr>
      <w:rPr>
        <w:rFonts w:hint="default"/>
      </w:rPr>
    </w:lvl>
    <w:lvl w:ilvl="3">
      <w:start w:val="1"/>
      <w:numFmt w:val="decimal"/>
      <w:lvlText w:val="%4."/>
      <w:lvlJc w:val="left"/>
      <w:pPr>
        <w:tabs>
          <w:tab w:val="num" w:pos="1418"/>
        </w:tabs>
        <w:ind w:left="1418" w:hanging="284"/>
      </w:pPr>
      <w:rPr>
        <w:rFonts w:hint="default"/>
      </w:rPr>
    </w:lvl>
    <w:lvl w:ilvl="4">
      <w:start w:val="1"/>
      <w:numFmt w:val="lowerLetter"/>
      <w:lvlText w:val="%5."/>
      <w:lvlJc w:val="left"/>
      <w:pPr>
        <w:tabs>
          <w:tab w:val="num" w:pos="1701"/>
        </w:tabs>
        <w:ind w:left="1701" w:hanging="283"/>
      </w:pPr>
      <w:rPr>
        <w:rFonts w:hint="default"/>
      </w:rPr>
    </w:lvl>
    <w:lvl w:ilvl="5">
      <w:start w:val="1"/>
      <w:numFmt w:val="lowerRoman"/>
      <w:lvlText w:val="%6."/>
      <w:lvlJc w:val="left"/>
      <w:pPr>
        <w:tabs>
          <w:tab w:val="num" w:pos="1985"/>
        </w:tabs>
        <w:ind w:left="1985" w:hanging="284"/>
      </w:pPr>
      <w:rPr>
        <w:rFonts w:hint="default"/>
      </w:rPr>
    </w:lvl>
    <w:lvl w:ilvl="6">
      <w:start w:val="1"/>
      <w:numFmt w:val="decimal"/>
      <w:lvlText w:val="%7."/>
      <w:lvlJc w:val="left"/>
      <w:pPr>
        <w:tabs>
          <w:tab w:val="num" w:pos="2268"/>
        </w:tabs>
        <w:ind w:left="2268" w:hanging="283"/>
      </w:pPr>
      <w:rPr>
        <w:rFonts w:hint="default"/>
      </w:rPr>
    </w:lvl>
    <w:lvl w:ilvl="7">
      <w:start w:val="1"/>
      <w:numFmt w:val="lowerLetter"/>
      <w:lvlText w:val="%8."/>
      <w:lvlJc w:val="left"/>
      <w:pPr>
        <w:tabs>
          <w:tab w:val="num" w:pos="2552"/>
        </w:tabs>
        <w:ind w:left="2552" w:hanging="284"/>
      </w:pPr>
      <w:rPr>
        <w:rFonts w:hint="default"/>
      </w:rPr>
    </w:lvl>
    <w:lvl w:ilvl="8">
      <w:start w:val="1"/>
      <w:numFmt w:val="lowerRoman"/>
      <w:lvlText w:val="%9."/>
      <w:lvlJc w:val="left"/>
      <w:pPr>
        <w:tabs>
          <w:tab w:val="num" w:pos="2835"/>
        </w:tabs>
        <w:ind w:left="2835" w:hanging="283"/>
      </w:pPr>
      <w:rPr>
        <w:rFonts w:hint="default"/>
      </w:rPr>
    </w:lvl>
  </w:abstractNum>
  <w:abstractNum w:abstractNumId="2">
    <w:nsid w:val="1ADA5821"/>
    <w:multiLevelType w:val="multilevel"/>
    <w:tmpl w:val="ECD8ACF2"/>
    <w:numStyleLink w:val="Estilonumerado"/>
  </w:abstractNum>
  <w:abstractNum w:abstractNumId="3">
    <w:nsid w:val="1FB92664"/>
    <w:multiLevelType w:val="hybridMultilevel"/>
    <w:tmpl w:val="10CCA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036927"/>
    <w:multiLevelType w:val="hybridMultilevel"/>
    <w:tmpl w:val="B93CE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B7A2706"/>
    <w:multiLevelType w:val="hybridMultilevel"/>
    <w:tmpl w:val="F8F46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2E16093"/>
    <w:multiLevelType w:val="hybridMultilevel"/>
    <w:tmpl w:val="D200D5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2"/>
  </w:num>
  <w:num w:numId="6">
    <w:abstractNumId w:val="5"/>
  </w:num>
  <w:num w:numId="7">
    <w:abstractNumId w:val="3"/>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defaultTabStop w:val="708"/>
  <w:hyphenationZone w:val="425"/>
  <w:characterSpacingControl w:val="doNotCompress"/>
  <w:footnotePr>
    <w:footnote w:id="-1"/>
    <w:footnote w:id="0"/>
  </w:footnotePr>
  <w:endnotePr>
    <w:endnote w:id="-1"/>
    <w:endnote w:id="0"/>
  </w:endnotePr>
  <w:compat/>
  <w:rsids>
    <w:rsidRoot w:val="002203C2"/>
    <w:rsid w:val="0000260F"/>
    <w:rsid w:val="00017A36"/>
    <w:rsid w:val="00030C24"/>
    <w:rsid w:val="000311A9"/>
    <w:rsid w:val="00031F4C"/>
    <w:rsid w:val="00032438"/>
    <w:rsid w:val="0004249F"/>
    <w:rsid w:val="00080B06"/>
    <w:rsid w:val="00092077"/>
    <w:rsid w:val="000A271A"/>
    <w:rsid w:val="000B38B4"/>
    <w:rsid w:val="000C204F"/>
    <w:rsid w:val="000E257C"/>
    <w:rsid w:val="000E52DF"/>
    <w:rsid w:val="000F3465"/>
    <w:rsid w:val="0011296E"/>
    <w:rsid w:val="00113D3A"/>
    <w:rsid w:val="001144AA"/>
    <w:rsid w:val="001306D7"/>
    <w:rsid w:val="00137AE6"/>
    <w:rsid w:val="00151BC7"/>
    <w:rsid w:val="00160329"/>
    <w:rsid w:val="00177997"/>
    <w:rsid w:val="00181614"/>
    <w:rsid w:val="0018475A"/>
    <w:rsid w:val="00187E64"/>
    <w:rsid w:val="001A7F0C"/>
    <w:rsid w:val="001B317D"/>
    <w:rsid w:val="001B63C2"/>
    <w:rsid w:val="001D5B3A"/>
    <w:rsid w:val="001E4F52"/>
    <w:rsid w:val="001E5FD8"/>
    <w:rsid w:val="002026E4"/>
    <w:rsid w:val="00205300"/>
    <w:rsid w:val="002064CF"/>
    <w:rsid w:val="00206D03"/>
    <w:rsid w:val="002133CA"/>
    <w:rsid w:val="00213A38"/>
    <w:rsid w:val="002203C2"/>
    <w:rsid w:val="00222BE5"/>
    <w:rsid w:val="00226355"/>
    <w:rsid w:val="00227942"/>
    <w:rsid w:val="00263B28"/>
    <w:rsid w:val="0026494F"/>
    <w:rsid w:val="00284775"/>
    <w:rsid w:val="002855F4"/>
    <w:rsid w:val="00286810"/>
    <w:rsid w:val="002B0AE6"/>
    <w:rsid w:val="002B3AE3"/>
    <w:rsid w:val="002D621D"/>
    <w:rsid w:val="002E2073"/>
    <w:rsid w:val="002E6442"/>
    <w:rsid w:val="002E6824"/>
    <w:rsid w:val="002E69D3"/>
    <w:rsid w:val="002F6328"/>
    <w:rsid w:val="00301350"/>
    <w:rsid w:val="00306CDC"/>
    <w:rsid w:val="00316001"/>
    <w:rsid w:val="003169B9"/>
    <w:rsid w:val="00320195"/>
    <w:rsid w:val="003202F6"/>
    <w:rsid w:val="00323D21"/>
    <w:rsid w:val="003414F9"/>
    <w:rsid w:val="003515EE"/>
    <w:rsid w:val="00353A93"/>
    <w:rsid w:val="00360D11"/>
    <w:rsid w:val="003749E7"/>
    <w:rsid w:val="00386D01"/>
    <w:rsid w:val="00387EA7"/>
    <w:rsid w:val="003942FF"/>
    <w:rsid w:val="003A7EBD"/>
    <w:rsid w:val="003B1CD5"/>
    <w:rsid w:val="003B2F1B"/>
    <w:rsid w:val="003B67AD"/>
    <w:rsid w:val="003C29F4"/>
    <w:rsid w:val="003C4C55"/>
    <w:rsid w:val="003C762B"/>
    <w:rsid w:val="003D578D"/>
    <w:rsid w:val="003E4710"/>
    <w:rsid w:val="003E60D3"/>
    <w:rsid w:val="003F3C03"/>
    <w:rsid w:val="004072D7"/>
    <w:rsid w:val="00414A8D"/>
    <w:rsid w:val="0041648E"/>
    <w:rsid w:val="00422B0E"/>
    <w:rsid w:val="00450C88"/>
    <w:rsid w:val="00453DCD"/>
    <w:rsid w:val="00455CCD"/>
    <w:rsid w:val="00456F6C"/>
    <w:rsid w:val="00480096"/>
    <w:rsid w:val="004811DD"/>
    <w:rsid w:val="004944A1"/>
    <w:rsid w:val="00495DC5"/>
    <w:rsid w:val="004C1E18"/>
    <w:rsid w:val="004C7460"/>
    <w:rsid w:val="004D7B89"/>
    <w:rsid w:val="004F11A7"/>
    <w:rsid w:val="0052668B"/>
    <w:rsid w:val="005413A8"/>
    <w:rsid w:val="00542C82"/>
    <w:rsid w:val="005459AD"/>
    <w:rsid w:val="005757E6"/>
    <w:rsid w:val="00597272"/>
    <w:rsid w:val="005A32F0"/>
    <w:rsid w:val="005C638E"/>
    <w:rsid w:val="005C7260"/>
    <w:rsid w:val="005D0647"/>
    <w:rsid w:val="005D616F"/>
    <w:rsid w:val="005D7D39"/>
    <w:rsid w:val="005D7E32"/>
    <w:rsid w:val="005E0955"/>
    <w:rsid w:val="005E7DCE"/>
    <w:rsid w:val="00604DB7"/>
    <w:rsid w:val="006320D0"/>
    <w:rsid w:val="00645C00"/>
    <w:rsid w:val="0065079D"/>
    <w:rsid w:val="00655635"/>
    <w:rsid w:val="006629F6"/>
    <w:rsid w:val="0067067E"/>
    <w:rsid w:val="00676444"/>
    <w:rsid w:val="00681366"/>
    <w:rsid w:val="006938CE"/>
    <w:rsid w:val="006A3429"/>
    <w:rsid w:val="006A7BBB"/>
    <w:rsid w:val="006C31D9"/>
    <w:rsid w:val="006D043A"/>
    <w:rsid w:val="006D54CE"/>
    <w:rsid w:val="006E347C"/>
    <w:rsid w:val="006F4665"/>
    <w:rsid w:val="007037CF"/>
    <w:rsid w:val="00714661"/>
    <w:rsid w:val="0075699C"/>
    <w:rsid w:val="007574AA"/>
    <w:rsid w:val="00757942"/>
    <w:rsid w:val="00771DEA"/>
    <w:rsid w:val="0077421E"/>
    <w:rsid w:val="00776A61"/>
    <w:rsid w:val="007832F7"/>
    <w:rsid w:val="00792486"/>
    <w:rsid w:val="00795A19"/>
    <w:rsid w:val="00797AC6"/>
    <w:rsid w:val="007C0649"/>
    <w:rsid w:val="007C0CB6"/>
    <w:rsid w:val="007C647A"/>
    <w:rsid w:val="007D4975"/>
    <w:rsid w:val="007D7886"/>
    <w:rsid w:val="007F4274"/>
    <w:rsid w:val="007F5582"/>
    <w:rsid w:val="00814A3B"/>
    <w:rsid w:val="008152E4"/>
    <w:rsid w:val="008426F0"/>
    <w:rsid w:val="00843A96"/>
    <w:rsid w:val="00846582"/>
    <w:rsid w:val="008559CF"/>
    <w:rsid w:val="008604D7"/>
    <w:rsid w:val="00860556"/>
    <w:rsid w:val="00865228"/>
    <w:rsid w:val="00875840"/>
    <w:rsid w:val="00884E0C"/>
    <w:rsid w:val="0088681D"/>
    <w:rsid w:val="0088781E"/>
    <w:rsid w:val="00887A35"/>
    <w:rsid w:val="008A0178"/>
    <w:rsid w:val="008B44EF"/>
    <w:rsid w:val="008B5D30"/>
    <w:rsid w:val="008C549B"/>
    <w:rsid w:val="008C7EED"/>
    <w:rsid w:val="008D0D6B"/>
    <w:rsid w:val="008D3D36"/>
    <w:rsid w:val="008F4DDB"/>
    <w:rsid w:val="008F7ADB"/>
    <w:rsid w:val="009014DF"/>
    <w:rsid w:val="00914B99"/>
    <w:rsid w:val="00935ADE"/>
    <w:rsid w:val="00942E9F"/>
    <w:rsid w:val="00943969"/>
    <w:rsid w:val="00947D3B"/>
    <w:rsid w:val="00956A01"/>
    <w:rsid w:val="00964BE1"/>
    <w:rsid w:val="00975AE6"/>
    <w:rsid w:val="00986D24"/>
    <w:rsid w:val="009B44D4"/>
    <w:rsid w:val="009C47B1"/>
    <w:rsid w:val="00A20C32"/>
    <w:rsid w:val="00A23AB5"/>
    <w:rsid w:val="00A30E06"/>
    <w:rsid w:val="00A53514"/>
    <w:rsid w:val="00A567B1"/>
    <w:rsid w:val="00A85D9A"/>
    <w:rsid w:val="00A92FFD"/>
    <w:rsid w:val="00AA090C"/>
    <w:rsid w:val="00AA4016"/>
    <w:rsid w:val="00AB4A48"/>
    <w:rsid w:val="00AB5C4F"/>
    <w:rsid w:val="00AB7A04"/>
    <w:rsid w:val="00AC2C9E"/>
    <w:rsid w:val="00AD42BB"/>
    <w:rsid w:val="00AE112C"/>
    <w:rsid w:val="00AE4C89"/>
    <w:rsid w:val="00AE4F00"/>
    <w:rsid w:val="00B01A05"/>
    <w:rsid w:val="00B025FF"/>
    <w:rsid w:val="00B128FD"/>
    <w:rsid w:val="00B27848"/>
    <w:rsid w:val="00B375EB"/>
    <w:rsid w:val="00B6550D"/>
    <w:rsid w:val="00B671A2"/>
    <w:rsid w:val="00BB50A6"/>
    <w:rsid w:val="00BB5CCF"/>
    <w:rsid w:val="00BC20FA"/>
    <w:rsid w:val="00BD2D2B"/>
    <w:rsid w:val="00BE3FFE"/>
    <w:rsid w:val="00BE40B2"/>
    <w:rsid w:val="00BE7497"/>
    <w:rsid w:val="00C01F81"/>
    <w:rsid w:val="00C108C2"/>
    <w:rsid w:val="00C16AD8"/>
    <w:rsid w:val="00C25E03"/>
    <w:rsid w:val="00C27DF0"/>
    <w:rsid w:val="00C31FEF"/>
    <w:rsid w:val="00C33A5C"/>
    <w:rsid w:val="00C34F10"/>
    <w:rsid w:val="00C37774"/>
    <w:rsid w:val="00C44D36"/>
    <w:rsid w:val="00C72727"/>
    <w:rsid w:val="00C76D7E"/>
    <w:rsid w:val="00C858EF"/>
    <w:rsid w:val="00C91E03"/>
    <w:rsid w:val="00C94239"/>
    <w:rsid w:val="00C97CD9"/>
    <w:rsid w:val="00CA0354"/>
    <w:rsid w:val="00CA2A13"/>
    <w:rsid w:val="00CB07C9"/>
    <w:rsid w:val="00CC204D"/>
    <w:rsid w:val="00CE53C2"/>
    <w:rsid w:val="00CE7281"/>
    <w:rsid w:val="00CF216C"/>
    <w:rsid w:val="00CF39BF"/>
    <w:rsid w:val="00D0098C"/>
    <w:rsid w:val="00D01D39"/>
    <w:rsid w:val="00D15737"/>
    <w:rsid w:val="00D30B35"/>
    <w:rsid w:val="00D34453"/>
    <w:rsid w:val="00D37CC7"/>
    <w:rsid w:val="00D56A78"/>
    <w:rsid w:val="00D61E3E"/>
    <w:rsid w:val="00D63211"/>
    <w:rsid w:val="00D703DD"/>
    <w:rsid w:val="00D8121B"/>
    <w:rsid w:val="00D837D7"/>
    <w:rsid w:val="00D9167E"/>
    <w:rsid w:val="00DA0730"/>
    <w:rsid w:val="00DA4579"/>
    <w:rsid w:val="00DB1971"/>
    <w:rsid w:val="00DC5EF6"/>
    <w:rsid w:val="00DD13BE"/>
    <w:rsid w:val="00DE548C"/>
    <w:rsid w:val="00DE6EAF"/>
    <w:rsid w:val="00DF3B96"/>
    <w:rsid w:val="00E00025"/>
    <w:rsid w:val="00E00EA8"/>
    <w:rsid w:val="00E021DF"/>
    <w:rsid w:val="00E157AE"/>
    <w:rsid w:val="00E172E8"/>
    <w:rsid w:val="00E22C8B"/>
    <w:rsid w:val="00E3367E"/>
    <w:rsid w:val="00E53B4E"/>
    <w:rsid w:val="00E64189"/>
    <w:rsid w:val="00E87206"/>
    <w:rsid w:val="00EB513F"/>
    <w:rsid w:val="00EB5FF2"/>
    <w:rsid w:val="00EC6070"/>
    <w:rsid w:val="00ED001A"/>
    <w:rsid w:val="00ED770C"/>
    <w:rsid w:val="00EE7F85"/>
    <w:rsid w:val="00EF1601"/>
    <w:rsid w:val="00F20347"/>
    <w:rsid w:val="00F304ED"/>
    <w:rsid w:val="00F36CEB"/>
    <w:rsid w:val="00F4595A"/>
    <w:rsid w:val="00F5370E"/>
    <w:rsid w:val="00F542C1"/>
    <w:rsid w:val="00F918B3"/>
    <w:rsid w:val="00F93507"/>
    <w:rsid w:val="00FB6671"/>
    <w:rsid w:val="00FD2D5A"/>
    <w:rsid w:val="00FD6A06"/>
    <w:rsid w:val="00FE40C0"/>
    <w:rsid w:val="00FE7880"/>
    <w:rsid w:val="00FF0FC7"/>
    <w:rsid w:val="00FF2256"/>
    <w:rsid w:val="00FF61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Párrafo normal"/>
    <w:qFormat/>
    <w:rsid w:val="00964BE1"/>
    <w:pPr>
      <w:spacing w:after="140" w:line="252" w:lineRule="auto"/>
      <w:jc w:val="both"/>
    </w:pPr>
    <w:rPr>
      <w:rFonts w:ascii="Arial Narrow" w:hAnsi="Arial Narrow"/>
      <w:sz w:val="24"/>
      <w:szCs w:val="24"/>
    </w:rPr>
  </w:style>
  <w:style w:type="paragraph" w:styleId="Ttulo1">
    <w:name w:val="heading 1"/>
    <w:basedOn w:val="Normal"/>
    <w:next w:val="Normal"/>
    <w:qFormat/>
    <w:rsid w:val="00C16AD8"/>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convietas">
    <w:name w:val="Estilo con viñetas"/>
    <w:basedOn w:val="Sinlista"/>
    <w:rsid w:val="00205300"/>
    <w:pPr>
      <w:numPr>
        <w:numId w:val="1"/>
      </w:numPr>
    </w:pPr>
  </w:style>
  <w:style w:type="numbering" w:customStyle="1" w:styleId="Estilonumerado">
    <w:name w:val="Estilo numerado"/>
    <w:basedOn w:val="Sinlista"/>
    <w:rsid w:val="00205300"/>
    <w:pPr>
      <w:numPr>
        <w:numId w:val="2"/>
      </w:numPr>
    </w:pPr>
  </w:style>
  <w:style w:type="paragraph" w:customStyle="1" w:styleId="Firmanegritaizquierda">
    <w:name w:val="Firma negrita izquierda"/>
    <w:basedOn w:val="Normal"/>
    <w:rsid w:val="00F5370E"/>
    <w:pPr>
      <w:spacing w:after="0"/>
      <w:ind w:left="-6"/>
      <w:jc w:val="left"/>
    </w:pPr>
    <w:rPr>
      <w:b/>
      <w:bCs/>
      <w:spacing w:val="-6"/>
      <w:sz w:val="20"/>
      <w:szCs w:val="20"/>
    </w:rPr>
  </w:style>
  <w:style w:type="table" w:styleId="Tablaconcuadrcula">
    <w:name w:val="Table Grid"/>
    <w:aliases w:val="Tabla firmas"/>
    <w:basedOn w:val="Cabeceratabla"/>
    <w:rsid w:val="00BE7497"/>
    <w:pPr>
      <w:spacing w:after="140" w:line="252" w:lineRule="auto"/>
      <w:jc w:val="both"/>
    </w:pPr>
    <w:rPr>
      <w:rFonts w:ascii="Arial Narrow" w:hAnsi="Arial Narrow"/>
    </w:rPr>
    <w:tblPr>
      <w:jc w:val="right"/>
      <w:tblInd w:w="0" w:type="dxa"/>
      <w:tblCellMar>
        <w:top w:w="0" w:type="dxa"/>
        <w:left w:w="0" w:type="dxa"/>
        <w:bottom w:w="0" w:type="dxa"/>
        <w:right w:w="0" w:type="dxa"/>
      </w:tblCellMar>
    </w:tblPr>
    <w:trPr>
      <w:cantSplit/>
      <w:jc w:val="right"/>
    </w:trPr>
    <w:tcPr>
      <w:noWrap/>
      <w:tcMar>
        <w:left w:w="0" w:type="dxa"/>
        <w:right w:w="0" w:type="dxa"/>
      </w:tcMar>
    </w:tcPr>
  </w:style>
  <w:style w:type="paragraph" w:customStyle="1" w:styleId="Cabeceradireccincompressed">
    <w:name w:val="Cabecera dirección compressed"/>
    <w:basedOn w:val="Cabecerasecretariaydireccion"/>
    <w:semiHidden/>
    <w:rsid w:val="00092077"/>
    <w:rPr>
      <w:spacing w:val="-10"/>
    </w:rPr>
  </w:style>
  <w:style w:type="paragraph" w:customStyle="1" w:styleId="Firmanegritaderecha">
    <w:name w:val="Firma negrita derecha"/>
    <w:basedOn w:val="Firmanegritaizquierda"/>
    <w:rsid w:val="00F5370E"/>
    <w:pPr>
      <w:jc w:val="right"/>
    </w:pPr>
  </w:style>
  <w:style w:type="paragraph" w:customStyle="1" w:styleId="Prrafocursiva">
    <w:name w:val="Párrafo cursiva"/>
    <w:basedOn w:val="Normal"/>
    <w:locked/>
    <w:rsid w:val="003169B9"/>
    <w:rPr>
      <w:i/>
    </w:rPr>
  </w:style>
  <w:style w:type="paragraph" w:customStyle="1" w:styleId="Prrafonegrita">
    <w:name w:val="Párrafo negrita"/>
    <w:basedOn w:val="Normal"/>
    <w:link w:val="PrrafonegritaCar"/>
    <w:locked/>
    <w:rsid w:val="003169B9"/>
    <w:rPr>
      <w:b/>
    </w:rPr>
  </w:style>
  <w:style w:type="paragraph" w:customStyle="1" w:styleId="Prrafosubrayado">
    <w:name w:val="Párrafo subrayado"/>
    <w:basedOn w:val="Normal"/>
    <w:locked/>
    <w:rsid w:val="003169B9"/>
    <w:rPr>
      <w:u w:val="single"/>
    </w:rPr>
  </w:style>
  <w:style w:type="paragraph" w:customStyle="1" w:styleId="Cabeceraorganizacion">
    <w:name w:val="Cabecera organizacion"/>
    <w:semiHidden/>
    <w:locked/>
    <w:rsid w:val="00D30B35"/>
    <w:rPr>
      <w:rFonts w:ascii="Arial" w:hAnsi="Arial"/>
      <w:b/>
      <w:sz w:val="22"/>
      <w:szCs w:val="24"/>
    </w:rPr>
  </w:style>
  <w:style w:type="paragraph" w:customStyle="1" w:styleId="Cabecerasecretariaydireccion">
    <w:name w:val="Cabecera secretaria y direccion"/>
    <w:link w:val="CabecerasecretariaydireccionCar"/>
    <w:semiHidden/>
    <w:locked/>
    <w:rsid w:val="00D30B35"/>
    <w:pPr>
      <w:spacing w:after="100" w:line="200" w:lineRule="exact"/>
      <w:jc w:val="both"/>
    </w:pPr>
    <w:rPr>
      <w:rFonts w:ascii="Arial" w:hAnsi="Arial"/>
      <w:spacing w:val="-6"/>
      <w:szCs w:val="24"/>
    </w:rPr>
  </w:style>
  <w:style w:type="table" w:customStyle="1" w:styleId="Cabeceratabla">
    <w:name w:val="Cabecera tabla"/>
    <w:basedOn w:val="Tablanormal"/>
    <w:semiHidden/>
    <w:locked/>
    <w:rsid w:val="00D30B35"/>
    <w:rPr>
      <w:rFonts w:ascii="Arial" w:hAnsi="Arial"/>
    </w:rPr>
    <w:tblPr>
      <w:tblInd w:w="0" w:type="dxa"/>
      <w:tblCellMar>
        <w:top w:w="0" w:type="dxa"/>
        <w:left w:w="108" w:type="dxa"/>
        <w:bottom w:w="0" w:type="dxa"/>
        <w:right w:w="108" w:type="dxa"/>
      </w:tblCellMar>
    </w:tblPr>
  </w:style>
  <w:style w:type="character" w:customStyle="1" w:styleId="CabecerasecretariaydireccionCar">
    <w:name w:val="Cabecera secretaria y direccion Car"/>
    <w:basedOn w:val="Fuentedeprrafopredeter"/>
    <w:link w:val="Cabecerasecretariaydireccion"/>
    <w:semiHidden/>
    <w:rsid w:val="00D30B35"/>
    <w:rPr>
      <w:rFonts w:ascii="Arial" w:hAnsi="Arial"/>
      <w:spacing w:val="-6"/>
      <w:szCs w:val="24"/>
      <w:lang w:val="es-ES" w:eastAsia="es-ES" w:bidi="ar-SA"/>
    </w:rPr>
  </w:style>
  <w:style w:type="paragraph" w:customStyle="1" w:styleId="CabeceraURL">
    <w:name w:val="Cabecera URL"/>
    <w:basedOn w:val="Cabeceraorganizacion"/>
    <w:link w:val="CabeceraURLCar"/>
    <w:semiHidden/>
    <w:locked/>
    <w:rsid w:val="00D30B35"/>
    <w:pPr>
      <w:jc w:val="right"/>
    </w:pPr>
  </w:style>
  <w:style w:type="paragraph" w:customStyle="1" w:styleId="Cabeceraseparacininferior">
    <w:name w:val="Cabecera separación inferior"/>
    <w:basedOn w:val="Normal"/>
    <w:semiHidden/>
    <w:locked/>
    <w:rsid w:val="00D30B35"/>
    <w:pPr>
      <w:spacing w:after="560"/>
    </w:pPr>
  </w:style>
  <w:style w:type="paragraph" w:customStyle="1" w:styleId="PiedepginaOK">
    <w:name w:val="Pie de página OK"/>
    <w:basedOn w:val="Normal"/>
    <w:autoRedefine/>
    <w:semiHidden/>
    <w:locked/>
    <w:rsid w:val="00D30B35"/>
    <w:pPr>
      <w:spacing w:before="100" w:beforeAutospacing="1" w:after="100" w:afterAutospacing="1"/>
      <w:jc w:val="right"/>
    </w:pPr>
    <w:rPr>
      <w:rFonts w:ascii="Arial" w:hAnsi="Arial"/>
      <w:b/>
      <w:color w:val="969696"/>
      <w:spacing w:val="-1"/>
      <w:sz w:val="16"/>
    </w:rPr>
  </w:style>
  <w:style w:type="character" w:styleId="Nmerodepgina">
    <w:name w:val="page number"/>
    <w:basedOn w:val="Fuentedeprrafopredeter"/>
    <w:semiHidden/>
    <w:rsid w:val="00D30B35"/>
    <w:rPr>
      <w:rFonts w:ascii="Helvetica 65 Medium" w:hAnsi="Helvetica 65 Medium"/>
      <w:color w:val="808080"/>
      <w:sz w:val="20"/>
    </w:rPr>
  </w:style>
  <w:style w:type="paragraph" w:customStyle="1" w:styleId="DestinatarioyDatosencabezado">
    <w:name w:val="Destinatario y Datos encabezado"/>
    <w:basedOn w:val="Normal"/>
    <w:rsid w:val="00D30B35"/>
    <w:pPr>
      <w:spacing w:after="0"/>
    </w:pPr>
  </w:style>
  <w:style w:type="character" w:customStyle="1" w:styleId="EstiloIzquierda0cmCar">
    <w:name w:val="Estilo Izquierda:  0 cm Car"/>
    <w:basedOn w:val="Fuentedeprrafopredeter"/>
    <w:link w:val="EstiloIzquierda0cm"/>
    <w:rsid w:val="00D30B35"/>
    <w:rPr>
      <w:rFonts w:ascii="Arial Narrow" w:hAnsi="Arial Narrow"/>
      <w:sz w:val="24"/>
      <w:lang w:val="es-ES" w:eastAsia="es-ES" w:bidi="ar-SA"/>
    </w:rPr>
  </w:style>
  <w:style w:type="character" w:customStyle="1" w:styleId="PrrafonegritaCar">
    <w:name w:val="Párrafo negrita Car"/>
    <w:basedOn w:val="Fuentedeprrafopredeter"/>
    <w:link w:val="Prrafonegrita"/>
    <w:rsid w:val="00D30B35"/>
    <w:rPr>
      <w:rFonts w:ascii="Arial Narrow" w:hAnsi="Arial Narrow"/>
      <w:b/>
      <w:sz w:val="24"/>
      <w:szCs w:val="24"/>
      <w:lang w:val="es-ES" w:eastAsia="es-ES" w:bidi="ar-SA"/>
    </w:rPr>
  </w:style>
  <w:style w:type="paragraph" w:customStyle="1" w:styleId="CabeceraseparacionURL">
    <w:name w:val="Cabecera separacion URL"/>
    <w:link w:val="CabeceraseparacionURLCarCar"/>
    <w:semiHidden/>
    <w:locked/>
    <w:rsid w:val="00D30B35"/>
    <w:pPr>
      <w:jc w:val="right"/>
    </w:pPr>
    <w:rPr>
      <w:rFonts w:ascii="Arial" w:hAnsi="Arial"/>
      <w:sz w:val="22"/>
      <w:szCs w:val="24"/>
    </w:rPr>
  </w:style>
  <w:style w:type="character" w:customStyle="1" w:styleId="CabeceraURLCar">
    <w:name w:val="Cabecera URL Car"/>
    <w:basedOn w:val="Fuentedeprrafopredeter"/>
    <w:link w:val="CabeceraURL"/>
    <w:rsid w:val="00D30B35"/>
    <w:rPr>
      <w:rFonts w:ascii="Arial" w:hAnsi="Arial"/>
      <w:b/>
      <w:sz w:val="22"/>
      <w:szCs w:val="24"/>
      <w:lang w:val="es-ES" w:eastAsia="es-ES" w:bidi="ar-SA"/>
    </w:rPr>
  </w:style>
  <w:style w:type="character" w:customStyle="1" w:styleId="CabeceraseparacionURLCarCar">
    <w:name w:val="Cabecera separacion URL Car Car"/>
    <w:basedOn w:val="Fuentedeprrafopredeter"/>
    <w:link w:val="CabeceraseparacionURL"/>
    <w:semiHidden/>
    <w:rsid w:val="00D30B35"/>
    <w:rPr>
      <w:rFonts w:ascii="Arial" w:hAnsi="Arial"/>
      <w:sz w:val="22"/>
      <w:szCs w:val="24"/>
      <w:lang w:val="es-ES" w:eastAsia="es-ES" w:bidi="ar-SA"/>
    </w:rPr>
  </w:style>
  <w:style w:type="paragraph" w:customStyle="1" w:styleId="Titular">
    <w:name w:val="Titular"/>
    <w:basedOn w:val="Normal"/>
    <w:rsid w:val="00964BE1"/>
    <w:pPr>
      <w:spacing w:after="360" w:line="480" w:lineRule="exact"/>
    </w:pPr>
    <w:rPr>
      <w:b/>
      <w:sz w:val="40"/>
    </w:rPr>
  </w:style>
  <w:style w:type="table" w:customStyle="1" w:styleId="Tabla-Observaciones">
    <w:name w:val="Tabla - Observaciones"/>
    <w:basedOn w:val="Tablanormal"/>
    <w:rsid w:val="003A7EBD"/>
    <w:rPr>
      <w:rFonts w:ascii="Arial Narrow" w:hAnsi="Arial Narrow"/>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3F3F3"/>
      <w:tcMar>
        <w:top w:w="57" w:type="dxa"/>
        <w:left w:w="57" w:type="dxa"/>
        <w:bottom w:w="57" w:type="dxa"/>
        <w:right w:w="57" w:type="dxa"/>
      </w:tcMar>
    </w:tcPr>
  </w:style>
  <w:style w:type="paragraph" w:customStyle="1" w:styleId="EstiloIzquierda0cm">
    <w:name w:val="Estilo Izquierda:  0 cm"/>
    <w:basedOn w:val="Normal"/>
    <w:link w:val="EstiloIzquierda0cmCar"/>
    <w:semiHidden/>
    <w:locked/>
    <w:rsid w:val="00D30B35"/>
    <w:rPr>
      <w:szCs w:val="20"/>
    </w:rPr>
  </w:style>
  <w:style w:type="character" w:customStyle="1" w:styleId="Tabla-TextonormalCarCar">
    <w:name w:val="Tabla - Texto normal Car Car"/>
    <w:basedOn w:val="Fuentedeprrafopredeter"/>
    <w:link w:val="Tabla-Textonormal"/>
    <w:rsid w:val="00D30B35"/>
    <w:rPr>
      <w:rFonts w:ascii="Arial Narrow" w:hAnsi="Arial Narrow"/>
      <w:lang w:val="es-ES" w:eastAsia="es-ES" w:bidi="ar-SA"/>
    </w:rPr>
  </w:style>
  <w:style w:type="paragraph" w:customStyle="1" w:styleId="Textoadjunto">
    <w:name w:val="Texto adjunto"/>
    <w:basedOn w:val="Normal"/>
    <w:rsid w:val="00AA090C"/>
    <w:rPr>
      <w:sz w:val="20"/>
    </w:rPr>
  </w:style>
  <w:style w:type="paragraph" w:customStyle="1" w:styleId="Tabla-Textonormal">
    <w:name w:val="Tabla - Texto normal"/>
    <w:basedOn w:val="Normal"/>
    <w:link w:val="Tabla-TextonormalCarCar"/>
    <w:rsid w:val="00C108C2"/>
    <w:pPr>
      <w:spacing w:before="40" w:after="40" w:line="240" w:lineRule="auto"/>
      <w:jc w:val="left"/>
    </w:pPr>
    <w:rPr>
      <w:sz w:val="20"/>
      <w:szCs w:val="20"/>
    </w:rPr>
  </w:style>
  <w:style w:type="paragraph" w:customStyle="1" w:styleId="Tabla-Textonegrita">
    <w:name w:val="Tabla - Texto negrita"/>
    <w:basedOn w:val="Tabla-Textonormal"/>
    <w:rsid w:val="00C108C2"/>
    <w:rPr>
      <w:b/>
    </w:rPr>
  </w:style>
  <w:style w:type="paragraph" w:customStyle="1" w:styleId="Firmanormalizquierda">
    <w:name w:val="Firma normal izquierda"/>
    <w:basedOn w:val="Firmanegritaizquierda"/>
    <w:rsid w:val="00F5370E"/>
    <w:rPr>
      <w:b w:val="0"/>
    </w:rPr>
  </w:style>
  <w:style w:type="paragraph" w:customStyle="1" w:styleId="Firmanormalderecha">
    <w:name w:val="Firma normal derecha"/>
    <w:basedOn w:val="Firmanormalizquierda"/>
    <w:rsid w:val="00F5370E"/>
    <w:pPr>
      <w:jc w:val="right"/>
    </w:pPr>
  </w:style>
  <w:style w:type="paragraph" w:styleId="Textonotapie">
    <w:name w:val="footnote text"/>
    <w:basedOn w:val="Normal"/>
    <w:semiHidden/>
    <w:rsid w:val="003169B9"/>
    <w:rPr>
      <w:sz w:val="20"/>
      <w:szCs w:val="20"/>
    </w:rPr>
  </w:style>
  <w:style w:type="character" w:styleId="Refdenotaalpie">
    <w:name w:val="footnote reference"/>
    <w:basedOn w:val="Fuentedeprrafopredeter"/>
    <w:semiHidden/>
    <w:rsid w:val="003169B9"/>
    <w:rPr>
      <w:vertAlign w:val="superscript"/>
    </w:rPr>
  </w:style>
  <w:style w:type="paragraph" w:customStyle="1" w:styleId="Normalalineadoaladerecha">
    <w:name w:val="Normal alineado a la derecha"/>
    <w:basedOn w:val="Normal"/>
    <w:rsid w:val="003169B9"/>
    <w:pPr>
      <w:jc w:val="right"/>
    </w:pPr>
    <w:rPr>
      <w:szCs w:val="20"/>
    </w:rPr>
  </w:style>
  <w:style w:type="paragraph" w:customStyle="1" w:styleId="Parrafofinal">
    <w:name w:val="Parrafo final"/>
    <w:basedOn w:val="Normal"/>
    <w:semiHidden/>
    <w:locked/>
    <w:rsid w:val="003169B9"/>
    <w:pPr>
      <w:spacing w:after="100" w:afterAutospacing="1"/>
    </w:pPr>
    <w:rPr>
      <w:sz w:val="2"/>
    </w:rPr>
  </w:style>
  <w:style w:type="table" w:customStyle="1" w:styleId="Tabla-Bordeinvisible">
    <w:name w:val="Tabla - Borde invisible"/>
    <w:basedOn w:val="Tablanormal"/>
    <w:rsid w:val="003A7EBD"/>
    <w:rPr>
      <w:rFonts w:ascii="Arial Narrow" w:hAnsi="Arial Narrow"/>
    </w:rPr>
    <w:tblPr>
      <w:tblInd w:w="0" w:type="dxa"/>
      <w:tblCellMar>
        <w:top w:w="0" w:type="dxa"/>
        <w:left w:w="108" w:type="dxa"/>
        <w:bottom w:w="0" w:type="dxa"/>
        <w:right w:w="108" w:type="dxa"/>
      </w:tblCellMar>
    </w:tblPr>
    <w:tcPr>
      <w:tcMar>
        <w:left w:w="57" w:type="dxa"/>
        <w:right w:w="57" w:type="dxa"/>
      </w:tcMar>
      <w:vAlign w:val="center"/>
    </w:tcPr>
  </w:style>
  <w:style w:type="table" w:customStyle="1" w:styleId="Tabla-Bordevisible">
    <w:name w:val="Tabla - Borde visible"/>
    <w:basedOn w:val="Tablanormal"/>
    <w:rsid w:val="003A7EBD"/>
    <w:rPr>
      <w:rFonts w:ascii="Arial Narrow" w:hAnsi="Arial Narrow"/>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57" w:type="dxa"/>
        <w:right w:w="57" w:type="dxa"/>
      </w:tcMar>
      <w:vAlign w:val="center"/>
    </w:tcPr>
  </w:style>
  <w:style w:type="paragraph" w:customStyle="1" w:styleId="Tabla-Textocursiva">
    <w:name w:val="Tabla - Texto cursiva"/>
    <w:basedOn w:val="Tabla-Textonormal"/>
    <w:rsid w:val="00C108C2"/>
    <w:rPr>
      <w:i/>
    </w:rPr>
  </w:style>
  <w:style w:type="paragraph" w:customStyle="1" w:styleId="Tabla-Textosubrayado">
    <w:name w:val="Tabla - Texto subrayado"/>
    <w:basedOn w:val="Tabla-Textonormal"/>
    <w:rsid w:val="00C108C2"/>
    <w:pPr>
      <w:contextualSpacing/>
    </w:pPr>
    <w:rPr>
      <w:u w:val="single"/>
    </w:rPr>
  </w:style>
  <w:style w:type="character" w:customStyle="1" w:styleId="Textonormalcursivaocursivanormal">
    <w:name w:val="Texto normal&gt;cursiva o cursiva&gt;normal"/>
    <w:basedOn w:val="Fuentedeprrafopredeter"/>
    <w:rsid w:val="00AA090C"/>
    <w:rPr>
      <w:rFonts w:ascii="Arial Narrow" w:hAnsi="Arial Narrow"/>
      <w:i/>
      <w:sz w:val="24"/>
    </w:rPr>
  </w:style>
  <w:style w:type="character" w:customStyle="1" w:styleId="Textonormalnegritaonegritanormal">
    <w:name w:val="Texto normal&gt;negrita o negrita&gt;normal"/>
    <w:basedOn w:val="Fuentedeprrafopredeter"/>
    <w:rsid w:val="00AA090C"/>
    <w:rPr>
      <w:rFonts w:ascii="Arial Narrow" w:hAnsi="Arial Narrow"/>
      <w:b/>
      <w:sz w:val="24"/>
    </w:rPr>
  </w:style>
  <w:style w:type="character" w:customStyle="1" w:styleId="Textonormalsubrayadoosubrayadonormal">
    <w:name w:val="Texto normal&gt;subrayado o subrayado&gt;normal"/>
    <w:basedOn w:val="Fuentedeprrafopredeter"/>
    <w:rsid w:val="00AA090C"/>
    <w:rPr>
      <w:rFonts w:ascii="Arial Narrow" w:hAnsi="Arial Narrow"/>
      <w:u w:val="single"/>
    </w:rPr>
  </w:style>
  <w:style w:type="paragraph" w:styleId="Piedepgina">
    <w:name w:val="footer"/>
    <w:basedOn w:val="Normal"/>
    <w:semiHidden/>
    <w:rsid w:val="000E257C"/>
    <w:pPr>
      <w:tabs>
        <w:tab w:val="center" w:pos="4252"/>
        <w:tab w:val="right" w:pos="8504"/>
      </w:tabs>
    </w:pPr>
  </w:style>
  <w:style w:type="paragraph" w:styleId="Textodeglobo">
    <w:name w:val="Balloon Text"/>
    <w:basedOn w:val="Normal"/>
    <w:link w:val="TextodegloboCar"/>
    <w:rsid w:val="00F935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93507"/>
    <w:rPr>
      <w:rFonts w:ascii="Tahoma" w:hAnsi="Tahoma" w:cs="Tahoma"/>
      <w:sz w:val="16"/>
      <w:szCs w:val="16"/>
    </w:rPr>
  </w:style>
  <w:style w:type="paragraph" w:styleId="Prrafodelista">
    <w:name w:val="List Paragraph"/>
    <w:basedOn w:val="Normal"/>
    <w:uiPriority w:val="34"/>
    <w:qFormat/>
    <w:rsid w:val="005E0955"/>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Textoennegrita">
    <w:name w:val="Strong"/>
    <w:basedOn w:val="Fuentedeprrafopredeter"/>
    <w:uiPriority w:val="22"/>
    <w:qFormat/>
    <w:rsid w:val="00542C8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Plantillas%20Secretar&#237;a%20de%20Medio%20Ambiente%20y%20Movilidad\secretaria_circu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secretaria_circular</Template>
  <TotalTime>5</TotalTime>
  <Pages>2</Pages>
  <Words>916</Words>
  <Characters>5043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CS_CCOO</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Andres</dc:creator>
  <cp:lastModifiedBy>Carmen Mancheño</cp:lastModifiedBy>
  <cp:revision>2</cp:revision>
  <dcterms:created xsi:type="dcterms:W3CDTF">2023-01-12T13:07:00Z</dcterms:created>
  <dcterms:modified xsi:type="dcterms:W3CDTF">2023-01-12T13:07:00Z</dcterms:modified>
</cp:coreProperties>
</file>